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25D8F" w14:textId="77777777" w:rsidR="00C10FC6" w:rsidRPr="00811CAC" w:rsidRDefault="00C10FC6" w:rsidP="00811CAC">
      <w:pPr>
        <w:jc w:val="center"/>
      </w:pPr>
    </w:p>
    <w:p w14:paraId="44E32F7A" w14:textId="77777777" w:rsidR="00C10FC6" w:rsidRPr="00811CAC" w:rsidRDefault="00C10FC6" w:rsidP="00811CAC">
      <w:pPr>
        <w:jc w:val="center"/>
      </w:pPr>
    </w:p>
    <w:p w14:paraId="7655EDFE" w14:textId="77777777" w:rsidR="00C10FC6" w:rsidRPr="00811CAC" w:rsidRDefault="00C10FC6" w:rsidP="00811CAC">
      <w:pPr>
        <w:jc w:val="center"/>
      </w:pPr>
    </w:p>
    <w:p w14:paraId="3DB57C7B" w14:textId="77777777" w:rsidR="00C10FC6" w:rsidRPr="00811CAC" w:rsidRDefault="00C10FC6" w:rsidP="00811CAC">
      <w:pPr>
        <w:jc w:val="center"/>
      </w:pPr>
    </w:p>
    <w:p w14:paraId="4AD2CD3C" w14:textId="77777777" w:rsidR="00C10FC6" w:rsidRPr="00811CAC" w:rsidRDefault="00C10FC6" w:rsidP="00811CAC">
      <w:pPr>
        <w:jc w:val="center"/>
      </w:pPr>
    </w:p>
    <w:p w14:paraId="01B82776" w14:textId="77777777" w:rsidR="00C10FC6" w:rsidRPr="00811CAC" w:rsidRDefault="00C10FC6" w:rsidP="00811CAC">
      <w:pPr>
        <w:jc w:val="center"/>
      </w:pPr>
    </w:p>
    <w:p w14:paraId="39666393" w14:textId="10CE9CA2" w:rsidR="00C10FC6" w:rsidRPr="00811CAC" w:rsidRDefault="00C70E01" w:rsidP="00811CAC">
      <w:pPr>
        <w:jc w:val="center"/>
      </w:pPr>
      <w:r w:rsidRPr="00811CAC">
        <w:t>The Employee Experience</w:t>
      </w:r>
    </w:p>
    <w:p w14:paraId="615BA042" w14:textId="77777777" w:rsidR="00C10FC6" w:rsidRPr="00811CAC" w:rsidRDefault="00C10FC6" w:rsidP="00811CAC">
      <w:pPr>
        <w:jc w:val="center"/>
      </w:pPr>
    </w:p>
    <w:p w14:paraId="17E15AC0" w14:textId="63D02AA9" w:rsidR="00C10FC6" w:rsidRPr="00811CAC" w:rsidRDefault="00C70E01" w:rsidP="00811CAC">
      <w:pPr>
        <w:jc w:val="center"/>
      </w:pPr>
      <w:r w:rsidRPr="00811CAC">
        <w:t>Students Name</w:t>
      </w:r>
    </w:p>
    <w:p w14:paraId="2659860A" w14:textId="77777777" w:rsidR="00C10FC6" w:rsidRPr="00811CAC" w:rsidRDefault="00C70E01" w:rsidP="00811CAC">
      <w:pPr>
        <w:jc w:val="center"/>
      </w:pPr>
      <w:r w:rsidRPr="00811CAC">
        <w:t>Institutional Affiliations</w:t>
      </w:r>
    </w:p>
    <w:p w14:paraId="1C70BA2D" w14:textId="7E4D07BE" w:rsidR="00C10FC6" w:rsidRPr="00811CAC" w:rsidRDefault="00C70E01" w:rsidP="00811CAC">
      <w:pPr>
        <w:jc w:val="center"/>
      </w:pPr>
      <w:r w:rsidRPr="00811CAC">
        <w:t>Date</w:t>
      </w:r>
      <w:r w:rsidRPr="00811CAC">
        <w:br w:type="page"/>
      </w:r>
    </w:p>
    <w:p w14:paraId="638D9BAD" w14:textId="4A9A2C04" w:rsidR="00C10FC6" w:rsidRPr="00811CAC" w:rsidRDefault="00C70E01" w:rsidP="00811CAC">
      <w:pPr>
        <w:jc w:val="center"/>
        <w:rPr>
          <w:b/>
          <w:bCs/>
        </w:rPr>
      </w:pPr>
      <w:r w:rsidRPr="00811CAC">
        <w:rPr>
          <w:b/>
          <w:bCs/>
        </w:rPr>
        <w:lastRenderedPageBreak/>
        <w:t>The Employee Experience</w:t>
      </w:r>
    </w:p>
    <w:p w14:paraId="17976C13" w14:textId="6EED6229" w:rsidR="00C10FC6" w:rsidRPr="00811CAC" w:rsidRDefault="00C70E01" w:rsidP="00811CAC">
      <w:pPr>
        <w:rPr>
          <w:b/>
          <w:bCs/>
        </w:rPr>
      </w:pPr>
      <w:r w:rsidRPr="00811CAC">
        <w:rPr>
          <w:b/>
          <w:bCs/>
        </w:rPr>
        <w:t>Question one</w:t>
      </w:r>
    </w:p>
    <w:p w14:paraId="6159CE1F" w14:textId="0D16B787" w:rsidR="00475706" w:rsidRPr="00475706" w:rsidRDefault="00C70E01" w:rsidP="00475706">
      <w:pPr>
        <w:ind w:firstLine="360"/>
        <w:rPr>
          <w:rFonts w:cs="Arial"/>
          <w:color w:val="222222"/>
          <w:szCs w:val="20"/>
          <w:shd w:val="clear" w:color="auto" w:fill="FFFFFF"/>
        </w:rPr>
      </w:pPr>
      <w:r w:rsidRPr="00811CAC">
        <w:t xml:space="preserve"> Compliance with the legal policies that guide the operation of a consultancy firm plays a major role in enhancing the social responsib</w:t>
      </w:r>
      <w:r w:rsidRPr="00811CAC">
        <w:t xml:space="preserve">ilities of a business. A business needs to familiarize with the legal issues guiding the performance and the practices of the business. </w:t>
      </w:r>
      <w:r w:rsidR="00C05180" w:rsidRPr="00811CAC">
        <w:t xml:space="preserve"> Compliance with legal issues helps to avoid legal issues that may hinder business </w:t>
      </w:r>
      <w:r w:rsidRPr="00811CAC">
        <w:t>operations</w:t>
      </w:r>
      <w:r>
        <w:rPr>
          <w:rFonts w:cs="Arial"/>
          <w:color w:val="222222"/>
          <w:szCs w:val="20"/>
          <w:shd w:val="clear" w:color="auto" w:fill="FFFFFF"/>
        </w:rPr>
        <w:t xml:space="preserve"> (</w:t>
      </w:r>
      <w:r w:rsidRPr="00811CAC">
        <w:rPr>
          <w:rFonts w:cs="Arial"/>
          <w:color w:val="222222"/>
          <w:szCs w:val="20"/>
          <w:shd w:val="clear" w:color="auto" w:fill="FFFFFF"/>
        </w:rPr>
        <w:t>Szablowski,</w:t>
      </w:r>
      <w:r>
        <w:rPr>
          <w:rFonts w:cs="Arial"/>
          <w:color w:val="222222"/>
          <w:szCs w:val="20"/>
          <w:shd w:val="clear" w:color="auto" w:fill="FFFFFF"/>
        </w:rPr>
        <w:t xml:space="preserve"> </w:t>
      </w:r>
      <w:r w:rsidRPr="00811CAC">
        <w:rPr>
          <w:rFonts w:cs="Arial"/>
          <w:color w:val="222222"/>
          <w:szCs w:val="20"/>
          <w:shd w:val="clear" w:color="auto" w:fill="FFFFFF"/>
        </w:rPr>
        <w:t>2019)</w:t>
      </w:r>
      <w:r w:rsidR="00C05180" w:rsidRPr="00811CAC">
        <w:t xml:space="preserve">. </w:t>
      </w:r>
      <w:r w:rsidRPr="00811CAC">
        <w:t>The le</w:t>
      </w:r>
      <w:r w:rsidRPr="00811CAC">
        <w:t xml:space="preserve">gal policies set aside by the government helps the business to set up policies that uphold the diversity of current and future business operations. The effectiveness of </w:t>
      </w:r>
      <w:r w:rsidR="00C05180" w:rsidRPr="00811CAC">
        <w:t>a</w:t>
      </w:r>
      <w:r w:rsidRPr="00811CAC">
        <w:t xml:space="preserve"> consulting </w:t>
      </w:r>
      <w:r w:rsidR="00C05180" w:rsidRPr="00811CAC">
        <w:t>firm</w:t>
      </w:r>
      <w:r w:rsidRPr="00811CAC">
        <w:t xml:space="preserve"> specializing in hotel assets management and revenue enhancement strat</w:t>
      </w:r>
      <w:r w:rsidRPr="00811CAC">
        <w:t xml:space="preserve">egies depends on the level of compliance with the policies developed by the business </w:t>
      </w:r>
      <w:r w:rsidR="00C05180" w:rsidRPr="00811CAC">
        <w:t xml:space="preserve">and the legal procedures put forward by the business. </w:t>
      </w:r>
    </w:p>
    <w:p w14:paraId="3F656FC0" w14:textId="77777777" w:rsidR="00475706" w:rsidRDefault="00C70E01" w:rsidP="00475706">
      <w:pPr>
        <w:ind w:firstLine="360"/>
      </w:pPr>
      <w:r w:rsidRPr="00811CAC">
        <w:t xml:space="preserve"> The following are the legal issues that the consulting firm in the hotel asset and revenue enhancement should consi</w:t>
      </w:r>
      <w:r w:rsidRPr="00811CAC">
        <w:t xml:space="preserve">der while developing their policies. The business should give equal and professional services to all the clients despite their social, political and </w:t>
      </w:r>
      <w:r w:rsidR="004215EF" w:rsidRPr="00811CAC">
        <w:t xml:space="preserve">economic background. The consultancy firm operating in the field of hotel asset management and revenue management should put up measures that are not biased in any way. The firm should ensure that different clients get equal treatment in terms of service delivery. </w:t>
      </w:r>
    </w:p>
    <w:p w14:paraId="154C6F95" w14:textId="5BC32EF2" w:rsidR="00475706" w:rsidRPr="00475706" w:rsidRDefault="00C70E01" w:rsidP="00475706">
      <w:pPr>
        <w:ind w:firstLine="360"/>
      </w:pPr>
      <w:r w:rsidRPr="00811CAC">
        <w:t xml:space="preserve">The organization should ensure that the services that are offered to different organization meet </w:t>
      </w:r>
      <w:r w:rsidRPr="00811CAC">
        <w:t>the set standards. Additionally, the firm should ensure the development and implementation of strategies that ensure equality in service delivery</w:t>
      </w:r>
      <w:r>
        <w:rPr>
          <w:rFonts w:cs="Arial"/>
          <w:color w:val="222222"/>
          <w:szCs w:val="20"/>
          <w:shd w:val="clear" w:color="auto" w:fill="FFFFFF"/>
        </w:rPr>
        <w:t xml:space="preserve"> (</w:t>
      </w:r>
      <w:r w:rsidRPr="00811CAC">
        <w:rPr>
          <w:rFonts w:cs="Arial"/>
          <w:color w:val="222222"/>
          <w:szCs w:val="20"/>
          <w:shd w:val="clear" w:color="auto" w:fill="FFFFFF"/>
        </w:rPr>
        <w:t>Schachner</w:t>
      </w:r>
      <w:r>
        <w:rPr>
          <w:rFonts w:cs="Arial"/>
          <w:color w:val="222222"/>
          <w:szCs w:val="20"/>
          <w:shd w:val="clear" w:color="auto" w:fill="FFFFFF"/>
        </w:rPr>
        <w:t xml:space="preserve"> et al.,.</w:t>
      </w:r>
      <w:r w:rsidRPr="00811CAC">
        <w:rPr>
          <w:rFonts w:cs="Arial"/>
          <w:color w:val="222222"/>
          <w:szCs w:val="20"/>
          <w:shd w:val="clear" w:color="auto" w:fill="FFFFFF"/>
        </w:rPr>
        <w:t>2016)</w:t>
      </w:r>
      <w:r w:rsidRPr="00811CAC">
        <w:t>. When setting up standard, the organization should ensure that the standards offer co</w:t>
      </w:r>
      <w:r w:rsidRPr="00811CAC">
        <w:t xml:space="preserve">mplies with the legal issues </w:t>
      </w:r>
      <w:r w:rsidRPr="00811CAC">
        <w:lastRenderedPageBreak/>
        <w:t xml:space="preserve">that guide the development of the operational standards in the hotel management and revenue management strategies by a consultancy </w:t>
      </w:r>
      <w:r w:rsidR="00AF5342" w:rsidRPr="00811CAC">
        <w:t xml:space="preserve">firm. </w:t>
      </w:r>
    </w:p>
    <w:p w14:paraId="75D449C4" w14:textId="4CA8677F" w:rsidR="00C05180" w:rsidRPr="00475706" w:rsidRDefault="00C70E01" w:rsidP="00475706">
      <w:pPr>
        <w:ind w:firstLine="360"/>
      </w:pPr>
      <w:r w:rsidRPr="00811CAC">
        <w:t>The</w:t>
      </w:r>
      <w:r w:rsidR="00CF6843" w:rsidRPr="00811CAC">
        <w:t xml:space="preserve"> consultancy firm offering hotel asset and revenue manage</w:t>
      </w:r>
      <w:r w:rsidRPr="00811CAC">
        <w:t>ment should ensure uniformity</w:t>
      </w:r>
      <w:r w:rsidRPr="00811CAC">
        <w:t xml:space="preserve"> in the standards of performance. The uniformity in the standards of performance ensures that the business is not biased in its operations. The uniformity of the standards of operation should be guided by the legal issues that arere-put forward by the unit</w:t>
      </w:r>
      <w:r w:rsidRPr="00811CAC">
        <w:t xml:space="preserve">ed states Acts on the standards of performance. To ensure compliance with the legal standards of performance, the business should ensure that it incorporates legal performance standards when setting its </w:t>
      </w:r>
      <w:r w:rsidR="00475706" w:rsidRPr="00811CAC">
        <w:t>standards</w:t>
      </w:r>
      <w:r w:rsidR="00475706">
        <w:rPr>
          <w:rFonts w:cs="Arial"/>
          <w:color w:val="222222"/>
          <w:szCs w:val="20"/>
          <w:shd w:val="clear" w:color="auto" w:fill="FFFFFF"/>
        </w:rPr>
        <w:t xml:space="preserve"> (</w:t>
      </w:r>
      <w:r w:rsidR="00475706" w:rsidRPr="00811CAC">
        <w:rPr>
          <w:rFonts w:cs="Arial"/>
          <w:color w:val="222222"/>
          <w:szCs w:val="20"/>
          <w:shd w:val="clear" w:color="auto" w:fill="FFFFFF"/>
        </w:rPr>
        <w:t>Lenz &amp; Glückler,</w:t>
      </w:r>
      <w:r w:rsidR="00475706">
        <w:rPr>
          <w:rFonts w:cs="Arial"/>
          <w:color w:val="222222"/>
          <w:szCs w:val="20"/>
          <w:shd w:val="clear" w:color="auto" w:fill="FFFFFF"/>
        </w:rPr>
        <w:t xml:space="preserve"> </w:t>
      </w:r>
      <w:r w:rsidR="00475706" w:rsidRPr="00811CAC">
        <w:rPr>
          <w:rFonts w:cs="Arial"/>
          <w:color w:val="222222"/>
          <w:szCs w:val="20"/>
          <w:shd w:val="clear" w:color="auto" w:fill="FFFFFF"/>
        </w:rPr>
        <w:t>2021).</w:t>
      </w:r>
      <w:r w:rsidRPr="00811CAC">
        <w:t xml:space="preserve"> The following are the key issues that the business should ensure</w:t>
      </w:r>
    </w:p>
    <w:p w14:paraId="360A0D53" w14:textId="30CC79C6" w:rsidR="00AF5342" w:rsidRPr="00811CAC" w:rsidRDefault="00E962CE" w:rsidP="00811CAC">
      <w:pPr>
        <w:pStyle w:val="ListParagraph"/>
        <w:numPr>
          <w:ilvl w:val="0"/>
          <w:numId w:val="1"/>
        </w:numPr>
      </w:pPr>
      <w:r w:rsidRPr="00811CAC">
        <w:t>. There is the provision of high-quality services by hiring professional services.</w:t>
      </w:r>
    </w:p>
    <w:p w14:paraId="67996B81" w14:textId="79FF6470" w:rsidR="00E962CE" w:rsidRPr="00811CAC" w:rsidRDefault="00C70E01" w:rsidP="00811CAC">
      <w:pPr>
        <w:pStyle w:val="ListParagraph"/>
        <w:numPr>
          <w:ilvl w:val="0"/>
          <w:numId w:val="1"/>
        </w:numPr>
      </w:pPr>
      <w:r w:rsidRPr="00811CAC">
        <w:t>Incorporating legal issues such as transparency in its operations</w:t>
      </w:r>
    </w:p>
    <w:p w14:paraId="55BD1C4A" w14:textId="5DC1B0CC" w:rsidR="00614D53" w:rsidRPr="00811CAC" w:rsidRDefault="00C70E01" w:rsidP="00811CAC">
      <w:pPr>
        <w:pStyle w:val="ListParagraph"/>
        <w:numPr>
          <w:ilvl w:val="0"/>
          <w:numId w:val="1"/>
        </w:numPr>
      </w:pPr>
      <w:r w:rsidRPr="00811CAC">
        <w:t>Appreciating the different believes of th</w:t>
      </w:r>
      <w:r w:rsidRPr="00811CAC">
        <w:t>e clients.</w:t>
      </w:r>
    </w:p>
    <w:p w14:paraId="1492E5C3" w14:textId="7FF63145" w:rsidR="00931CB0" w:rsidRPr="00811CAC" w:rsidRDefault="00C70E01" w:rsidP="00811CAC">
      <w:pPr>
        <w:pStyle w:val="ListParagraph"/>
        <w:numPr>
          <w:ilvl w:val="0"/>
          <w:numId w:val="1"/>
        </w:numPr>
      </w:pPr>
      <w:r w:rsidRPr="00811CAC">
        <w:t>Complying with the set hotel management standards.</w:t>
      </w:r>
    </w:p>
    <w:p w14:paraId="3B783C39" w14:textId="77777777" w:rsidR="00475706" w:rsidRDefault="00C70E01" w:rsidP="00475706">
      <w:pPr>
        <w:ind w:left="360"/>
        <w:jc w:val="center"/>
        <w:rPr>
          <w:b/>
          <w:bCs/>
        </w:rPr>
      </w:pPr>
      <w:r w:rsidRPr="00811CAC">
        <w:rPr>
          <w:b/>
          <w:bCs/>
        </w:rPr>
        <w:t>Question2</w:t>
      </w:r>
    </w:p>
    <w:p w14:paraId="103E8EC6" w14:textId="5E23EB7F" w:rsidR="003F4E0C" w:rsidRPr="00607C5E" w:rsidRDefault="00C70E01" w:rsidP="00607C5E">
      <w:pPr>
        <w:ind w:firstLine="360"/>
        <w:rPr>
          <w:b/>
          <w:bCs/>
        </w:rPr>
      </w:pPr>
      <w:r w:rsidRPr="00811CAC">
        <w:t xml:space="preserve">The following are the areas that show the evidence of a problem in the </w:t>
      </w:r>
      <w:r w:rsidR="00607C5E" w:rsidRPr="00811CAC">
        <w:t>restaurant. The</w:t>
      </w:r>
      <w:r w:rsidRPr="00811CAC">
        <w:t xml:space="preserve"> dining structure of the restaurant is one of the most common areas where the problem of low customer satisfaction can be observed. If the restaurant do</w:t>
      </w:r>
      <w:r w:rsidRPr="00811CAC">
        <w:t xml:space="preserve">es not provide effective dining services that cater to the needs of different clients, then there is a higher probability of </w:t>
      </w:r>
      <w:r w:rsidR="00A8216B" w:rsidRPr="00811CAC">
        <w:t>not</w:t>
      </w:r>
      <w:r w:rsidRPr="00811CAC">
        <w:t xml:space="preserve"> meeting the customer's satisfaction. There various needs that the customer needs on the dining of the </w:t>
      </w:r>
      <w:r w:rsidR="00A8216B" w:rsidRPr="00811CAC">
        <w:t>restaurant</w:t>
      </w:r>
      <w:r w:rsidRPr="00811CAC">
        <w:t xml:space="preserve">. For </w:t>
      </w:r>
      <w:r w:rsidR="00A8216B" w:rsidRPr="00811CAC">
        <w:t>example,</w:t>
      </w:r>
      <w:r w:rsidRPr="00811CAC">
        <w:t xml:space="preserve"> </w:t>
      </w:r>
      <w:r w:rsidRPr="00811CAC">
        <w:t xml:space="preserve">the </w:t>
      </w:r>
      <w:r w:rsidR="00A8216B" w:rsidRPr="00811CAC">
        <w:t>restaurant</w:t>
      </w:r>
      <w:r w:rsidRPr="00811CAC">
        <w:t xml:space="preserve"> should provide sufficient </w:t>
      </w:r>
      <w:r w:rsidR="00A8216B" w:rsidRPr="00811CAC">
        <w:t>space and</w:t>
      </w:r>
      <w:r w:rsidRPr="00811CAC">
        <w:t xml:space="preserve"> platforms where the clients can hold special occasions such as birthdays and dates. The lack of these platforms </w:t>
      </w:r>
      <w:r w:rsidR="00A8216B" w:rsidRPr="00811CAC">
        <w:t xml:space="preserve">indicates the major problem in the </w:t>
      </w:r>
      <w:r w:rsidR="00475706" w:rsidRPr="00811CAC">
        <w:t>restaurant</w:t>
      </w:r>
      <w:r w:rsidR="00475706">
        <w:rPr>
          <w:rFonts w:cs="Arial"/>
          <w:color w:val="222222"/>
          <w:szCs w:val="20"/>
          <w:shd w:val="clear" w:color="auto" w:fill="FFFFFF"/>
        </w:rPr>
        <w:t xml:space="preserve"> (</w:t>
      </w:r>
      <w:r w:rsidR="00475706" w:rsidRPr="00811CAC">
        <w:rPr>
          <w:rFonts w:cs="Arial"/>
          <w:color w:val="222222"/>
          <w:szCs w:val="20"/>
          <w:shd w:val="clear" w:color="auto" w:fill="FFFFFF"/>
        </w:rPr>
        <w:t>Klarsfeld</w:t>
      </w:r>
      <w:r w:rsidR="00475706">
        <w:rPr>
          <w:rFonts w:cs="Arial"/>
          <w:color w:val="222222"/>
          <w:szCs w:val="20"/>
          <w:shd w:val="clear" w:color="auto" w:fill="FFFFFF"/>
        </w:rPr>
        <w:t xml:space="preserve"> et al.</w:t>
      </w:r>
      <w:r w:rsidR="00475706" w:rsidRPr="00811CAC">
        <w:rPr>
          <w:rFonts w:cs="Arial"/>
          <w:color w:val="222222"/>
          <w:szCs w:val="20"/>
          <w:shd w:val="clear" w:color="auto" w:fill="FFFFFF"/>
        </w:rPr>
        <w:t>2016).</w:t>
      </w:r>
      <w:r w:rsidR="00A8216B" w:rsidRPr="00811CAC">
        <w:t xml:space="preserve"> Additionally, the restaurant should ensure that </w:t>
      </w:r>
      <w:r w:rsidR="00A8216B" w:rsidRPr="00811CAC">
        <w:lastRenderedPageBreak/>
        <w:t>the dining services are attractive enough to satisfy the clients. For example, the restaurant should ensure there are comfortable and classic seats.</w:t>
      </w:r>
    </w:p>
    <w:p w14:paraId="16E849B0" w14:textId="7C8E68C3" w:rsidR="00A8216B" w:rsidRPr="00796325" w:rsidRDefault="00C70E01" w:rsidP="00796325">
      <w:pPr>
        <w:ind w:firstLine="360"/>
        <w:rPr>
          <w:rFonts w:cs="Arial"/>
          <w:color w:val="222222"/>
          <w:szCs w:val="20"/>
          <w:shd w:val="clear" w:color="auto" w:fill="FFFFFF"/>
        </w:rPr>
      </w:pPr>
      <w:r w:rsidRPr="00811CAC">
        <w:t>The provision of low-quality food meals is another indication of a vital problem in the restaurant sector. Provision of food and substances that does not meet the customer's satisfaction is one of the main problems affecting the effectiveness of the restau</w:t>
      </w:r>
      <w:r w:rsidRPr="00811CAC">
        <w:t xml:space="preserve">rant business. Similarly, poor employee benefit is another key challenge that affects the effectiveness of the services provided in the restaurant sector. Poor employee benefits include the provision of poor remuneration </w:t>
      </w:r>
      <w:r w:rsidR="00796325" w:rsidRPr="00811CAC">
        <w:t>services</w:t>
      </w:r>
      <w:r w:rsidR="00796325">
        <w:rPr>
          <w:rFonts w:cs="Arial"/>
          <w:color w:val="222222"/>
          <w:szCs w:val="20"/>
          <w:shd w:val="clear" w:color="auto" w:fill="FFFFFF"/>
        </w:rPr>
        <w:t xml:space="preserve"> (</w:t>
      </w:r>
      <w:r w:rsidR="00796325" w:rsidRPr="00811CAC">
        <w:rPr>
          <w:rFonts w:cs="Arial"/>
          <w:color w:val="222222"/>
          <w:szCs w:val="20"/>
          <w:shd w:val="clear" w:color="auto" w:fill="FFFFFF"/>
        </w:rPr>
        <w:t>Juntarawijit &amp; Juntarawijit,</w:t>
      </w:r>
      <w:r w:rsidR="00796325">
        <w:rPr>
          <w:rFonts w:cs="Arial"/>
          <w:color w:val="222222"/>
          <w:szCs w:val="20"/>
          <w:shd w:val="clear" w:color="auto" w:fill="FFFFFF"/>
        </w:rPr>
        <w:t xml:space="preserve"> </w:t>
      </w:r>
      <w:r w:rsidR="00796325" w:rsidRPr="00811CAC">
        <w:rPr>
          <w:rFonts w:cs="Arial"/>
          <w:color w:val="222222"/>
          <w:szCs w:val="20"/>
          <w:shd w:val="clear" w:color="auto" w:fill="FFFFFF"/>
        </w:rPr>
        <w:t xml:space="preserve">2017). </w:t>
      </w:r>
      <w:r w:rsidR="00665D0A" w:rsidRPr="00811CAC">
        <w:t xml:space="preserve"> Poor health hygiene in the restaurant is also another problem that affects the effectiveness of the restaurant business.</w:t>
      </w:r>
    </w:p>
    <w:p w14:paraId="4AE9D94C" w14:textId="0E8AAB9E" w:rsidR="00665D0A" w:rsidRPr="00811CAC" w:rsidRDefault="00C70E01" w:rsidP="00796325">
      <w:pPr>
        <w:ind w:firstLine="360"/>
      </w:pPr>
      <w:r w:rsidRPr="00811CAC">
        <w:t>Sever</w:t>
      </w:r>
      <w:r w:rsidRPr="00811CAC">
        <w:t xml:space="preserve">al issues show evidence of a toxic work environment in a restaurant. </w:t>
      </w:r>
      <w:r w:rsidR="00796325" w:rsidRPr="00811CAC">
        <w:t>One</w:t>
      </w:r>
      <w:r w:rsidRPr="00811CAC">
        <w:t xml:space="preserve"> of the primary </w:t>
      </w:r>
      <w:r w:rsidR="00796325" w:rsidRPr="00811CAC">
        <w:t>factors</w:t>
      </w:r>
      <w:r w:rsidRPr="00811CAC">
        <w:t xml:space="preserve"> showing the characteristic of a toxic working environment in the restaurant includes poor communication among the employees. The presence of undefined communica</w:t>
      </w:r>
      <w:r w:rsidRPr="00811CAC">
        <w:t xml:space="preserve">tion channels in the restaurant may cause improper coordination of activities between staff in the </w:t>
      </w:r>
      <w:r w:rsidR="00796325" w:rsidRPr="00811CAC">
        <w:t>restaurant</w:t>
      </w:r>
      <w:r w:rsidR="00796325">
        <w:rPr>
          <w:rFonts w:cs="Arial"/>
          <w:color w:val="222222"/>
          <w:szCs w:val="20"/>
          <w:shd w:val="clear" w:color="auto" w:fill="FFFFFF"/>
        </w:rPr>
        <w:t xml:space="preserve"> (</w:t>
      </w:r>
      <w:r w:rsidR="00796325" w:rsidRPr="00811CAC">
        <w:rPr>
          <w:rFonts w:cs="Arial"/>
          <w:color w:val="222222"/>
          <w:szCs w:val="20"/>
          <w:shd w:val="clear" w:color="auto" w:fill="FFFFFF"/>
        </w:rPr>
        <w:t>Janssens &amp; Steyaert</w:t>
      </w:r>
      <w:r w:rsidR="00796325">
        <w:rPr>
          <w:rFonts w:cs="Arial"/>
          <w:color w:val="222222"/>
          <w:szCs w:val="20"/>
          <w:shd w:val="clear" w:color="auto" w:fill="FFFFFF"/>
        </w:rPr>
        <w:t xml:space="preserve"> </w:t>
      </w:r>
      <w:r w:rsidR="00796325" w:rsidRPr="00811CAC">
        <w:rPr>
          <w:rFonts w:cs="Arial"/>
          <w:color w:val="222222"/>
          <w:szCs w:val="20"/>
          <w:shd w:val="clear" w:color="auto" w:fill="FFFFFF"/>
        </w:rPr>
        <w:t>2019).</w:t>
      </w:r>
      <w:r w:rsidR="008B3465" w:rsidRPr="00811CAC">
        <w:t xml:space="preserve"> The second characteristic of a toxic working environment in a restaurant is the presence of unmotivated restaurant staff. Unmotivated staff contributes to the provision of poor services to the clients. The third sign of a toxic working environment is the presence of a harsh boss, and lastly, lack of efficient tools and equipment is to use in the restaurant.</w:t>
      </w:r>
    </w:p>
    <w:p w14:paraId="7923BBBA" w14:textId="27CD2D05" w:rsidR="008B3465" w:rsidRPr="00811CAC" w:rsidRDefault="00C70E01" w:rsidP="00475706">
      <w:pPr>
        <w:ind w:firstLine="360"/>
      </w:pPr>
      <w:r w:rsidRPr="00811CAC">
        <w:t>To change a to</w:t>
      </w:r>
      <w:r w:rsidRPr="00811CAC">
        <w:t>xic working environment in a restaurant, the organization should consider improving the communication within the channel. The organization can facilitate proper communication channel within the organization by developing the proper channel of communication</w:t>
      </w:r>
      <w:r w:rsidRPr="00811CAC">
        <w:t xml:space="preserve"> that should be used to communicate to the employees. Finally, the provision of </w:t>
      </w:r>
      <w:r w:rsidRPr="00811CAC">
        <w:lastRenderedPageBreak/>
        <w:t>employee motivation schemes is essential in increasing the quality of services offered by the organization.</w:t>
      </w:r>
    </w:p>
    <w:p w14:paraId="0D880EF9" w14:textId="04EE072D" w:rsidR="00475706" w:rsidRPr="00607C5E" w:rsidRDefault="00C70E01" w:rsidP="00607C5E">
      <w:pPr>
        <w:ind w:left="360"/>
        <w:jc w:val="center"/>
        <w:rPr>
          <w:b/>
          <w:bCs/>
        </w:rPr>
      </w:pPr>
      <w:r w:rsidRPr="00811CAC">
        <w:rPr>
          <w:b/>
          <w:bCs/>
        </w:rPr>
        <w:t>Question3</w:t>
      </w:r>
    </w:p>
    <w:p w14:paraId="3D84C1B8" w14:textId="3A960477" w:rsidR="00A756FA" w:rsidRPr="00796325" w:rsidRDefault="00C70E01" w:rsidP="00475706">
      <w:pPr>
        <w:ind w:firstLine="360"/>
        <w:rPr>
          <w:rFonts w:cs="Arial"/>
          <w:color w:val="222222"/>
          <w:szCs w:val="20"/>
          <w:shd w:val="clear" w:color="auto" w:fill="FFFFFF"/>
        </w:rPr>
      </w:pPr>
      <w:r w:rsidRPr="00811CAC">
        <w:t xml:space="preserve"> The element of diversity can be detected in the organization by providing employing employees from different genders or including both men and </w:t>
      </w:r>
      <w:r w:rsidR="00796325" w:rsidRPr="00811CAC">
        <w:t>women</w:t>
      </w:r>
      <w:r w:rsidR="00796325">
        <w:rPr>
          <w:rFonts w:cs="Arial"/>
          <w:color w:val="222222"/>
          <w:szCs w:val="20"/>
          <w:shd w:val="clear" w:color="auto" w:fill="FFFFFF"/>
        </w:rPr>
        <w:t xml:space="preserve"> (</w:t>
      </w:r>
      <w:r w:rsidR="00796325" w:rsidRPr="00811CAC">
        <w:rPr>
          <w:rFonts w:cs="Arial"/>
          <w:color w:val="222222"/>
          <w:szCs w:val="20"/>
          <w:shd w:val="clear" w:color="auto" w:fill="FFFFFF"/>
        </w:rPr>
        <w:t>Chang</w:t>
      </w:r>
      <w:r w:rsidR="00796325">
        <w:rPr>
          <w:rFonts w:cs="Arial"/>
          <w:color w:val="222222"/>
          <w:szCs w:val="20"/>
          <w:shd w:val="clear" w:color="auto" w:fill="FFFFFF"/>
        </w:rPr>
        <w:t xml:space="preserve"> et al.,.</w:t>
      </w:r>
      <w:r w:rsidR="00796325" w:rsidRPr="00811CAC">
        <w:rPr>
          <w:rFonts w:cs="Arial"/>
          <w:color w:val="222222"/>
          <w:szCs w:val="20"/>
          <w:shd w:val="clear" w:color="auto" w:fill="FFFFFF"/>
        </w:rPr>
        <w:t>2021).</w:t>
      </w:r>
      <w:r w:rsidRPr="00811CAC">
        <w:t xml:space="preserve"> The organization should ensure diversity in assigning different </w:t>
      </w:r>
      <w:r w:rsidRPr="00811CAC">
        <w:t xml:space="preserve">tasks in the organization, for example, the organization can employ a certain ratio of men and women in the management positions and the rest in junior positions. </w:t>
      </w:r>
    </w:p>
    <w:p w14:paraId="42EA94E5" w14:textId="5DEAA7C8" w:rsidR="00796325" w:rsidRPr="00796325" w:rsidRDefault="00C70E01" w:rsidP="00796325">
      <w:pPr>
        <w:ind w:firstLine="360"/>
        <w:rPr>
          <w:rFonts w:cs="Arial"/>
          <w:color w:val="222222"/>
          <w:szCs w:val="20"/>
          <w:shd w:val="clear" w:color="auto" w:fill="FFFFFF"/>
        </w:rPr>
      </w:pPr>
      <w:r w:rsidRPr="00811CAC">
        <w:t xml:space="preserve">Inclusion is another key concept that the organization should use in its operations to facilitate its success. Inclusion includes the use of policies that include the </w:t>
      </w:r>
      <w:r w:rsidR="00235E10" w:rsidRPr="00811CAC">
        <w:t>organization's workers in</w:t>
      </w:r>
      <w:r w:rsidRPr="00811CAC">
        <w:t xml:space="preserve"> its plans</w:t>
      </w:r>
      <w:r>
        <w:rPr>
          <w:rFonts w:cs="Arial"/>
          <w:color w:val="222222"/>
          <w:szCs w:val="20"/>
          <w:shd w:val="clear" w:color="auto" w:fill="FFFFFF"/>
        </w:rPr>
        <w:t xml:space="preserve"> (</w:t>
      </w:r>
      <w:r w:rsidRPr="00811CAC">
        <w:rPr>
          <w:rFonts w:cs="Arial"/>
          <w:color w:val="222222"/>
          <w:szCs w:val="20"/>
          <w:shd w:val="clear" w:color="auto" w:fill="FFFFFF"/>
        </w:rPr>
        <w:t>Bessen,</w:t>
      </w:r>
      <w:r>
        <w:rPr>
          <w:rFonts w:cs="Arial"/>
          <w:color w:val="222222"/>
          <w:szCs w:val="20"/>
          <w:shd w:val="clear" w:color="auto" w:fill="FFFFFF"/>
        </w:rPr>
        <w:t xml:space="preserve"> </w:t>
      </w:r>
      <w:r w:rsidRPr="00811CAC">
        <w:rPr>
          <w:rFonts w:cs="Arial"/>
          <w:color w:val="222222"/>
          <w:szCs w:val="20"/>
          <w:shd w:val="clear" w:color="auto" w:fill="FFFFFF"/>
        </w:rPr>
        <w:t>2018)</w:t>
      </w:r>
      <w:r w:rsidRPr="00811CAC">
        <w:t xml:space="preserve">. The inclusion of different people in the organization </w:t>
      </w:r>
      <w:r w:rsidR="00235E10" w:rsidRPr="00811CAC">
        <w:t>plan</w:t>
      </w:r>
      <w:r w:rsidRPr="00811CAC">
        <w:t xml:space="preserve"> helps boost creativity in the business operations, such as coming up with the right brand </w:t>
      </w:r>
      <w:r w:rsidR="00235E10" w:rsidRPr="00811CAC">
        <w:t>to increase</w:t>
      </w:r>
      <w:r w:rsidRPr="00811CAC">
        <w:t xml:space="preserve"> the firm's profitability. </w:t>
      </w:r>
    </w:p>
    <w:p w14:paraId="169B995C" w14:textId="6C92483F" w:rsidR="00A756FA" w:rsidRPr="00811CAC" w:rsidRDefault="00C70E01" w:rsidP="00796325">
      <w:pPr>
        <w:ind w:firstLine="360"/>
      </w:pPr>
      <w:r w:rsidRPr="00811CAC">
        <w:t xml:space="preserve">The organization should ensure that all </w:t>
      </w:r>
      <w:r w:rsidR="00235E10" w:rsidRPr="00811CAC">
        <w:t>the</w:t>
      </w:r>
      <w:r w:rsidRPr="00811CAC">
        <w:t xml:space="preserve"> employees are included</w:t>
      </w:r>
      <w:r w:rsidRPr="00811CAC">
        <w:t xml:space="preserve"> in the organizations plans </w:t>
      </w:r>
      <w:r w:rsidR="00235E10" w:rsidRPr="00811CAC">
        <w:t>to facilitate the exchange of important ideas, which facilitates the growth of the business. Similarly, the organization can maintain the equality concept to facilitate its growth. The equality in the treatment of the employees of the business help to create a conducive environment for the employee's operations. The creation of a conducive environment for the employees helps increase the productivity of the employees.</w:t>
      </w:r>
    </w:p>
    <w:p w14:paraId="6B308BED" w14:textId="77777777" w:rsidR="00475706" w:rsidRDefault="00C70E01" w:rsidP="00796325">
      <w:pPr>
        <w:ind w:firstLine="360"/>
      </w:pPr>
      <w:r w:rsidRPr="00811CAC">
        <w:t xml:space="preserve">There are various metrics that the organization should use to </w:t>
      </w:r>
      <w:r w:rsidRPr="00811CAC">
        <w:t xml:space="preserve">measure the effectiveness of the diversity, inclusion and equality concepts in its plans. To measure the level of diversity, the organization can measure the level of employee turnover. If there is a high rate of employee </w:t>
      </w:r>
      <w:r w:rsidRPr="00811CAC">
        <w:lastRenderedPageBreak/>
        <w:t xml:space="preserve">turnover, the organization should </w:t>
      </w:r>
      <w:r w:rsidRPr="00811CAC">
        <w:t xml:space="preserve">consider improving the level of diversity in assigning responsibilities to employees. </w:t>
      </w:r>
    </w:p>
    <w:p w14:paraId="735494C5" w14:textId="6F2DDE70" w:rsidR="00475706" w:rsidRDefault="00C70E01" w:rsidP="00475706">
      <w:pPr>
        <w:ind w:firstLine="360"/>
        <w:rPr>
          <w:rFonts w:cs="Arial"/>
          <w:color w:val="222222"/>
          <w:szCs w:val="20"/>
          <w:shd w:val="clear" w:color="auto" w:fill="FFFFFF"/>
        </w:rPr>
      </w:pPr>
      <w:r w:rsidRPr="00811CAC">
        <w:t>Similarly, the organization can measure the effectiveness of inclusion te</w:t>
      </w:r>
      <w:r w:rsidR="00F500AC" w:rsidRPr="00811CAC">
        <w:t xml:space="preserve">chniques by measuring the level of employee retention. If there is low employee retention in an organization, then the organization should improve on including the employees in its plans because it acts as a motivation to the employees, hence retaining them </w:t>
      </w:r>
      <w:r>
        <w:rPr>
          <w:rFonts w:cs="Arial"/>
          <w:color w:val="222222"/>
          <w:szCs w:val="20"/>
          <w:shd w:val="clear" w:color="auto" w:fill="FFFFFF"/>
        </w:rPr>
        <w:t>(</w:t>
      </w:r>
      <w:r w:rsidRPr="00811CAC">
        <w:rPr>
          <w:rFonts w:cs="Arial"/>
          <w:color w:val="222222"/>
          <w:szCs w:val="20"/>
          <w:shd w:val="clear" w:color="auto" w:fill="FFFFFF"/>
        </w:rPr>
        <w:t>Arntz,</w:t>
      </w:r>
      <w:r>
        <w:rPr>
          <w:rFonts w:cs="Arial"/>
          <w:color w:val="222222"/>
          <w:szCs w:val="20"/>
          <w:shd w:val="clear" w:color="auto" w:fill="FFFFFF"/>
        </w:rPr>
        <w:t xml:space="preserve"> </w:t>
      </w:r>
      <w:r w:rsidRPr="00811CAC">
        <w:rPr>
          <w:rFonts w:cs="Arial"/>
          <w:color w:val="222222"/>
          <w:szCs w:val="20"/>
          <w:shd w:val="clear" w:color="auto" w:fill="FFFFFF"/>
        </w:rPr>
        <w:t>Gregory,</w:t>
      </w:r>
      <w:r>
        <w:rPr>
          <w:rFonts w:cs="Arial"/>
          <w:color w:val="222222"/>
          <w:szCs w:val="20"/>
          <w:shd w:val="clear" w:color="auto" w:fill="FFFFFF"/>
        </w:rPr>
        <w:t xml:space="preserve"> </w:t>
      </w:r>
      <w:r w:rsidRPr="00811CAC">
        <w:rPr>
          <w:rFonts w:cs="Arial"/>
          <w:color w:val="222222"/>
          <w:szCs w:val="20"/>
          <w:shd w:val="clear" w:color="auto" w:fill="FFFFFF"/>
        </w:rPr>
        <w:t>&amp; Zierahn,2016).</w:t>
      </w:r>
      <w:r w:rsidR="00F500AC" w:rsidRPr="00811CAC">
        <w:t xml:space="preserve"> </w:t>
      </w:r>
      <w:r w:rsidR="00C7358D" w:rsidRPr="00811CAC">
        <w:t>Finally,</w:t>
      </w:r>
      <w:r w:rsidR="00F500AC" w:rsidRPr="00811CAC">
        <w:t xml:space="preserve"> the organization can use </w:t>
      </w:r>
      <w:r w:rsidR="00C7358D" w:rsidRPr="00811CAC">
        <w:t>the diversity</w:t>
      </w:r>
      <w:r w:rsidR="00F500AC" w:rsidRPr="00811CAC">
        <w:t xml:space="preserve"> and inclusion scorecard to assess </w:t>
      </w:r>
      <w:r w:rsidR="00C7358D" w:rsidRPr="00811CAC">
        <w:t>the</w:t>
      </w:r>
      <w:r w:rsidR="00F500AC" w:rsidRPr="00811CAC">
        <w:t xml:space="preserve"> accountability of the leaders in facilitating diversion and </w:t>
      </w:r>
      <w:r w:rsidRPr="00811CAC">
        <w:t>inclusion</w:t>
      </w:r>
      <w:r>
        <w:rPr>
          <w:rFonts w:cs="Arial"/>
          <w:color w:val="222222"/>
          <w:szCs w:val="20"/>
          <w:shd w:val="clear" w:color="auto" w:fill="FFFFFF"/>
        </w:rPr>
        <w:t>.</w:t>
      </w:r>
    </w:p>
    <w:p w14:paraId="3FA2FCC6" w14:textId="2F769590" w:rsidR="00235E10" w:rsidRPr="00796325" w:rsidRDefault="00C70E01" w:rsidP="00475706">
      <w:pPr>
        <w:ind w:firstLine="360"/>
        <w:rPr>
          <w:rFonts w:cs="Arial"/>
          <w:color w:val="222222"/>
          <w:szCs w:val="20"/>
          <w:shd w:val="clear" w:color="auto" w:fill="FFFFFF"/>
        </w:rPr>
      </w:pPr>
      <w:r>
        <w:rPr>
          <w:rFonts w:cs="Arial"/>
          <w:color w:val="222222"/>
          <w:szCs w:val="20"/>
          <w:shd w:val="clear" w:color="auto" w:fill="FFFFFF"/>
        </w:rPr>
        <w:t xml:space="preserve"> </w:t>
      </w:r>
      <w:r w:rsidR="00F500AC" w:rsidRPr="00811CAC">
        <w:t xml:space="preserve">Finally, the organization can measure the equality of its operations by developing a policy that ensures equal </w:t>
      </w:r>
      <w:r w:rsidR="00C7358D" w:rsidRPr="00811CAC">
        <w:t>employees’</w:t>
      </w:r>
      <w:r w:rsidR="00F500AC" w:rsidRPr="00811CAC">
        <w:t xml:space="preserve"> treatment in the organization plan. The organization should correct data on the level of equality in the business by following various equality techniques. The organization should </w:t>
      </w:r>
      <w:r w:rsidR="00C7358D" w:rsidRPr="00811CAC">
        <w:t xml:space="preserve">assess equality by observing issues like the level of gender equality in allocating tasks to employees. </w:t>
      </w:r>
    </w:p>
    <w:p w14:paraId="53D6D2D2" w14:textId="61EAE7FD" w:rsidR="00C7358D" w:rsidRPr="00811CAC" w:rsidRDefault="00C70E01" w:rsidP="00811CAC">
      <w:pPr>
        <w:ind w:left="360"/>
        <w:jc w:val="center"/>
        <w:rPr>
          <w:b/>
          <w:bCs/>
        </w:rPr>
      </w:pPr>
      <w:r w:rsidRPr="00811CAC">
        <w:rPr>
          <w:b/>
          <w:bCs/>
        </w:rPr>
        <w:t>Question4</w:t>
      </w:r>
    </w:p>
    <w:p w14:paraId="0BD2CEE4" w14:textId="7573CC3E" w:rsidR="00C7358D" w:rsidRPr="00811CAC" w:rsidRDefault="00C70E01" w:rsidP="00475706">
      <w:pPr>
        <w:ind w:firstLine="360"/>
      </w:pPr>
      <w:r w:rsidRPr="00811CAC">
        <w:t>There are various factors that the organization should consider before deciding to use automation of certain tasks. Automation is the process of the use of a machine to carry out a certain task. To allow effective use of the machine, the organiza</w:t>
      </w:r>
      <w:r w:rsidRPr="00811CAC">
        <w:t xml:space="preserve">tion needs to consider various factors before deciding to automate the tasks to ensure a high level of effectiveness in its operation. </w:t>
      </w:r>
    </w:p>
    <w:p w14:paraId="06D6CC53" w14:textId="6ED14AA2" w:rsidR="00137996" w:rsidRPr="00811CAC" w:rsidRDefault="00C70E01" w:rsidP="00475706">
      <w:pPr>
        <w:ind w:firstLine="360"/>
      </w:pPr>
      <w:r w:rsidRPr="00811CAC">
        <w:t xml:space="preserve">The first factor to consider before deciding to automate a certain task includes the automation of other processes. The </w:t>
      </w:r>
      <w:r w:rsidRPr="00811CAC">
        <w:t xml:space="preserve">automation of a </w:t>
      </w:r>
      <w:r w:rsidR="0064166E" w:rsidRPr="00811CAC">
        <w:t>certain</w:t>
      </w:r>
      <w:r w:rsidRPr="00811CAC">
        <w:t xml:space="preserve"> task affects</w:t>
      </w:r>
      <w:r w:rsidR="0064166E" w:rsidRPr="00811CAC">
        <w:t xml:space="preserve"> </w:t>
      </w:r>
      <w:r w:rsidRPr="00811CAC">
        <w:t xml:space="preserve">the primary task or the task before the automation. It is important for the organization to consider the effects of automation of these </w:t>
      </w:r>
      <w:r w:rsidRPr="00811CAC">
        <w:lastRenderedPageBreak/>
        <w:t xml:space="preserve">tasks. Generally, automation has the effect of speeding up processes. The speeding </w:t>
      </w:r>
      <w:r w:rsidRPr="00811CAC">
        <w:t xml:space="preserve">up of processes may cause various effects on the effectiveness of the organization processes before and </w:t>
      </w:r>
      <w:r w:rsidR="0064166E" w:rsidRPr="00811CAC">
        <w:t>after</w:t>
      </w:r>
      <w:r w:rsidRPr="00811CAC">
        <w:t xml:space="preserve"> the automation. For </w:t>
      </w:r>
      <w:r w:rsidR="0064166E" w:rsidRPr="00811CAC">
        <w:t>example,</w:t>
      </w:r>
      <w:r w:rsidRPr="00811CAC">
        <w:t xml:space="preserve"> due to the high speed of the automated task, the firm may require a faster </w:t>
      </w:r>
      <w:r w:rsidR="00475706" w:rsidRPr="00811CAC">
        <w:t>method to</w:t>
      </w:r>
      <w:r w:rsidRPr="00811CAC">
        <w:t xml:space="preserve"> supply materials to avoid delays</w:t>
      </w:r>
      <w:r w:rsidRPr="00811CAC">
        <w:t>. Similarly, the organization needs an efficient delivery system to move the automated products to other departments. Therefore, the organization should consider the coordination of the processes before and after automation.</w:t>
      </w:r>
    </w:p>
    <w:p w14:paraId="3D97389F" w14:textId="193B02AB" w:rsidR="00C7358D" w:rsidRPr="00796325" w:rsidRDefault="00C70E01" w:rsidP="00796325">
      <w:pPr>
        <w:ind w:firstLine="360"/>
        <w:rPr>
          <w:rFonts w:cs="Arial"/>
          <w:color w:val="222222"/>
          <w:szCs w:val="20"/>
          <w:shd w:val="clear" w:color="auto" w:fill="FFFFFF"/>
        </w:rPr>
      </w:pPr>
      <w:r w:rsidRPr="00811CAC">
        <w:t>A monotonous job is another ess</w:t>
      </w:r>
      <w:r w:rsidRPr="00811CAC">
        <w:t xml:space="preserve">ential factor that the organization should consider when deciding to automate a certain task. The organization should consider the repetitiveness of the task to be automated. The organization should consider automating those tasks that are repetitive </w:t>
      </w:r>
      <w:r w:rsidR="00796325">
        <w:rPr>
          <w:rFonts w:cs="Arial"/>
          <w:color w:val="222222"/>
          <w:szCs w:val="20"/>
          <w:shd w:val="clear" w:color="auto" w:fill="FFFFFF"/>
        </w:rPr>
        <w:t>(</w:t>
      </w:r>
      <w:r w:rsidR="00796325" w:rsidRPr="00811CAC">
        <w:rPr>
          <w:rFonts w:cs="Arial"/>
          <w:color w:val="222222"/>
          <w:szCs w:val="20"/>
          <w:shd w:val="clear" w:color="auto" w:fill="FFFFFF"/>
        </w:rPr>
        <w:t>Anjum</w:t>
      </w:r>
      <w:r w:rsidR="00796325">
        <w:rPr>
          <w:rFonts w:cs="Arial"/>
          <w:color w:val="222222"/>
          <w:szCs w:val="20"/>
          <w:shd w:val="clear" w:color="auto" w:fill="FFFFFF"/>
        </w:rPr>
        <w:t xml:space="preserve"> et al., </w:t>
      </w:r>
      <w:r w:rsidR="00796325" w:rsidRPr="00811CAC">
        <w:rPr>
          <w:rFonts w:cs="Arial"/>
          <w:color w:val="222222"/>
          <w:szCs w:val="20"/>
          <w:shd w:val="clear" w:color="auto" w:fill="FFFFFF"/>
        </w:rPr>
        <w:t>2018</w:t>
      </w:r>
      <w:r w:rsidR="00796325">
        <w:rPr>
          <w:rFonts w:cs="Arial"/>
          <w:color w:val="222222"/>
          <w:szCs w:val="20"/>
          <w:shd w:val="clear" w:color="auto" w:fill="FFFFFF"/>
        </w:rPr>
        <w:t>)</w:t>
      </w:r>
      <w:r w:rsidR="00796325" w:rsidRPr="00811CAC">
        <w:rPr>
          <w:rFonts w:cs="Arial"/>
          <w:color w:val="222222"/>
          <w:szCs w:val="20"/>
          <w:shd w:val="clear" w:color="auto" w:fill="FFFFFF"/>
        </w:rPr>
        <w:t>.</w:t>
      </w:r>
      <w:r w:rsidRPr="00811CAC">
        <w:t xml:space="preserve"> The automation of these processes is essential since it enables the employees to concentrate on a more important and demanding process. Further automation of tedious processes help improves the efficiency of the firm's operation. The effic</w:t>
      </w:r>
      <w:r w:rsidRPr="00811CAC">
        <w:t>iency of the firm's operations is facilitated by saving time taken by human to do the task.</w:t>
      </w:r>
    </w:p>
    <w:p w14:paraId="473992C1" w14:textId="28362F22" w:rsidR="0064166E" w:rsidRPr="00796325" w:rsidRDefault="00C70E01" w:rsidP="00796325">
      <w:pPr>
        <w:ind w:firstLine="360"/>
        <w:rPr>
          <w:rFonts w:cs="Arial"/>
          <w:color w:val="222222"/>
          <w:szCs w:val="20"/>
          <w:shd w:val="clear" w:color="auto" w:fill="FFFFFF"/>
        </w:rPr>
      </w:pPr>
      <w:r w:rsidRPr="00811CAC">
        <w:t xml:space="preserve">The third important factor that a firm should consider before deciding to automate a task is the cost of automation. The organization should consider the cost </w:t>
      </w:r>
      <w:r w:rsidR="00850184" w:rsidRPr="00811CAC">
        <w:t xml:space="preserve">of automating the process before deciding. The cost incurred for installing various automation machine is one of the high costs that the organization should consider. If the cost of installing and maintaining the machine is expensive than hiring more workers, the organization should consider hiring more workers than </w:t>
      </w:r>
      <w:r w:rsidR="00796325" w:rsidRPr="00811CAC">
        <w:t>automating</w:t>
      </w:r>
      <w:r w:rsidR="00796325">
        <w:rPr>
          <w:rFonts w:cs="Arial"/>
          <w:color w:val="222222"/>
          <w:szCs w:val="20"/>
          <w:shd w:val="clear" w:color="auto" w:fill="FFFFFF"/>
        </w:rPr>
        <w:t xml:space="preserve"> (</w:t>
      </w:r>
      <w:r w:rsidR="00796325" w:rsidRPr="00811CAC">
        <w:rPr>
          <w:rFonts w:cs="Arial"/>
          <w:color w:val="222222"/>
          <w:szCs w:val="20"/>
          <w:shd w:val="clear" w:color="auto" w:fill="FFFFFF"/>
        </w:rPr>
        <w:t>Acemoglu &amp; Restrepo, 2019)</w:t>
      </w:r>
      <w:r w:rsidR="00850184" w:rsidRPr="00811CAC">
        <w:t xml:space="preserve">. The automation process may cost the organization various overhead costs such as the electricity cost and water. The organization should consider the availability of these resources before automating the processes. </w:t>
      </w:r>
      <w:bookmarkStart w:id="0" w:name="_GoBack"/>
      <w:bookmarkEnd w:id="0"/>
    </w:p>
    <w:p w14:paraId="3A9BD99D" w14:textId="07F833BE" w:rsidR="00850184" w:rsidRPr="00811CAC" w:rsidRDefault="00850184" w:rsidP="00811CAC">
      <w:pPr>
        <w:ind w:left="360"/>
      </w:pPr>
    </w:p>
    <w:p w14:paraId="57E5B7C5" w14:textId="22C7DFCD" w:rsidR="00850184" w:rsidRPr="00811CAC" w:rsidRDefault="00850184" w:rsidP="00811CAC">
      <w:pPr>
        <w:ind w:left="360"/>
      </w:pPr>
    </w:p>
    <w:p w14:paraId="210926AC" w14:textId="6E291725" w:rsidR="00850184" w:rsidRDefault="00850184" w:rsidP="00475706"/>
    <w:p w14:paraId="3969CEAB" w14:textId="77777777" w:rsidR="00475706" w:rsidRPr="00811CAC" w:rsidRDefault="00475706" w:rsidP="00475706"/>
    <w:p w14:paraId="3A0DD227" w14:textId="62845A74" w:rsidR="00850184" w:rsidRPr="00811CAC" w:rsidRDefault="00C70E01" w:rsidP="00811CAC">
      <w:pPr>
        <w:ind w:left="360"/>
        <w:jc w:val="center"/>
        <w:rPr>
          <w:b/>
          <w:bCs/>
        </w:rPr>
      </w:pPr>
      <w:r w:rsidRPr="00811CAC">
        <w:rPr>
          <w:b/>
          <w:bCs/>
        </w:rPr>
        <w:t>References</w:t>
      </w:r>
    </w:p>
    <w:p w14:paraId="13E8BBA1"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 xml:space="preserve">Acemoglu, D., &amp; Restrepo, P. (2019). Automation and new tasks: How technology displaces and reinstates labour. </w:t>
      </w:r>
      <w:r w:rsidRPr="00811CAC">
        <w:rPr>
          <w:rFonts w:cs="Arial"/>
          <w:i/>
          <w:iCs/>
          <w:color w:val="222222"/>
          <w:szCs w:val="20"/>
          <w:shd w:val="clear" w:color="auto" w:fill="FFFFFF"/>
        </w:rPr>
        <w:t>Journal of Economic Perspectives</w:t>
      </w:r>
      <w:r w:rsidRPr="00811CAC">
        <w:rPr>
          <w:rFonts w:cs="Arial"/>
          <w:color w:val="222222"/>
          <w:szCs w:val="20"/>
          <w:shd w:val="clear" w:color="auto" w:fill="FFFFFF"/>
        </w:rPr>
        <w:t>, </w:t>
      </w:r>
      <w:r w:rsidRPr="00811CAC">
        <w:rPr>
          <w:rFonts w:cs="Arial"/>
          <w:i/>
          <w:iCs/>
          <w:color w:val="222222"/>
          <w:szCs w:val="20"/>
          <w:shd w:val="clear" w:color="auto" w:fill="FFFFFF"/>
        </w:rPr>
        <w:t>33</w:t>
      </w:r>
      <w:r w:rsidRPr="00811CAC">
        <w:rPr>
          <w:rFonts w:cs="Arial"/>
          <w:color w:val="222222"/>
          <w:szCs w:val="20"/>
          <w:shd w:val="clear" w:color="auto" w:fill="FFFFFF"/>
        </w:rPr>
        <w:t>(2), 3-30.</w:t>
      </w:r>
    </w:p>
    <w:p w14:paraId="6272D04D"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 xml:space="preserve">Anjum, A., Ming, X., Siddiqi, A. F., &amp; Rasool, S. F. (2018). An empirical study </w:t>
      </w:r>
      <w:r w:rsidRPr="00811CAC">
        <w:rPr>
          <w:rFonts w:cs="Arial"/>
          <w:color w:val="222222"/>
          <w:szCs w:val="20"/>
          <w:shd w:val="clear" w:color="auto" w:fill="FFFFFF"/>
        </w:rPr>
        <w:t>analysed job productivity in toxic workplace environments</w:t>
      </w:r>
      <w:r w:rsidRPr="00811CAC">
        <w:rPr>
          <w:rFonts w:cs="Arial"/>
          <w:i/>
          <w:iCs/>
          <w:color w:val="222222"/>
          <w:szCs w:val="20"/>
          <w:shd w:val="clear" w:color="auto" w:fill="FFFFFF"/>
        </w:rPr>
        <w:t>—international journal of environmental research and public health</w:t>
      </w:r>
      <w:r w:rsidRPr="00811CAC">
        <w:rPr>
          <w:rFonts w:cs="Arial"/>
          <w:color w:val="222222"/>
          <w:szCs w:val="20"/>
          <w:shd w:val="clear" w:color="auto" w:fill="FFFFFF"/>
        </w:rPr>
        <w:t>, </w:t>
      </w:r>
      <w:r w:rsidRPr="00811CAC">
        <w:rPr>
          <w:rFonts w:cs="Arial"/>
          <w:i/>
          <w:iCs/>
          <w:color w:val="222222"/>
          <w:szCs w:val="20"/>
          <w:shd w:val="clear" w:color="auto" w:fill="FFFFFF"/>
        </w:rPr>
        <w:t>15</w:t>
      </w:r>
      <w:r w:rsidRPr="00811CAC">
        <w:rPr>
          <w:rFonts w:cs="Arial"/>
          <w:color w:val="222222"/>
          <w:szCs w:val="20"/>
          <w:shd w:val="clear" w:color="auto" w:fill="FFFFFF"/>
        </w:rPr>
        <w:t>(5), 1035.</w:t>
      </w:r>
    </w:p>
    <w:p w14:paraId="69ADF861"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 xml:space="preserve">Arntz, M., Gregory, T., &amp; Zierahn, U. (2016). The risk of automation for jobs in OECD countries: A </w:t>
      </w:r>
      <w:r w:rsidRPr="00811CAC">
        <w:rPr>
          <w:rFonts w:cs="Arial"/>
          <w:color w:val="222222"/>
          <w:szCs w:val="20"/>
          <w:shd w:val="clear" w:color="auto" w:fill="FFFFFF"/>
        </w:rPr>
        <w:t>comparative analysis.</w:t>
      </w:r>
    </w:p>
    <w:p w14:paraId="521E9C58" w14:textId="77777777" w:rsidR="00811CAC" w:rsidRPr="00811CAC" w:rsidRDefault="00C70E01" w:rsidP="00811CAC">
      <w:pPr>
        <w:ind w:left="720" w:hanging="360"/>
      </w:pPr>
      <w:r w:rsidRPr="00811CAC">
        <w:rPr>
          <w:rFonts w:cs="Arial"/>
          <w:color w:val="222222"/>
          <w:szCs w:val="20"/>
          <w:shd w:val="clear" w:color="auto" w:fill="FFFFFF"/>
        </w:rPr>
        <w:t>Bessen, J. (2018). </w:t>
      </w:r>
      <w:r w:rsidRPr="00811CAC">
        <w:rPr>
          <w:rFonts w:cs="Arial"/>
          <w:i/>
          <w:iCs/>
          <w:color w:val="222222"/>
          <w:szCs w:val="20"/>
          <w:shd w:val="clear" w:color="auto" w:fill="FFFFFF"/>
        </w:rPr>
        <w:t>AI and Jobs: The role of demand</w:t>
      </w:r>
      <w:r w:rsidRPr="00811CAC">
        <w:rPr>
          <w:rFonts w:cs="Arial"/>
          <w:color w:val="222222"/>
          <w:szCs w:val="20"/>
          <w:shd w:val="clear" w:color="auto" w:fill="FFFFFF"/>
        </w:rPr>
        <w:t> (No. w24235). National Bureau of Economic Research.</w:t>
      </w:r>
    </w:p>
    <w:p w14:paraId="7B60C683"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Chang, H. S., Capuozzo, B., Okumus, B., &amp; Cho, M. (2021). Cleaning the invisible in restaurants is important during COVID-19: A cas</w:t>
      </w:r>
      <w:r w:rsidRPr="00811CAC">
        <w:rPr>
          <w:rFonts w:cs="Arial"/>
          <w:color w:val="222222"/>
          <w:szCs w:val="20"/>
          <w:shd w:val="clear" w:color="auto" w:fill="FFFFFF"/>
        </w:rPr>
        <w:t xml:space="preserve">e study of indoor air quality of an open-kitchen restaurant. </w:t>
      </w:r>
      <w:r w:rsidRPr="00811CAC">
        <w:rPr>
          <w:rFonts w:cs="Arial"/>
          <w:i/>
          <w:iCs/>
          <w:color w:val="222222"/>
          <w:szCs w:val="20"/>
          <w:shd w:val="clear" w:color="auto" w:fill="FFFFFF"/>
        </w:rPr>
        <w:t>International Journal of Hospitality Management</w:t>
      </w:r>
      <w:r w:rsidRPr="00811CAC">
        <w:rPr>
          <w:rFonts w:cs="Arial"/>
          <w:color w:val="222222"/>
          <w:szCs w:val="20"/>
          <w:shd w:val="clear" w:color="auto" w:fill="FFFFFF"/>
        </w:rPr>
        <w:t>, </w:t>
      </w:r>
      <w:r w:rsidRPr="00811CAC">
        <w:rPr>
          <w:rFonts w:cs="Arial"/>
          <w:i/>
          <w:iCs/>
          <w:color w:val="222222"/>
          <w:szCs w:val="20"/>
          <w:shd w:val="clear" w:color="auto" w:fill="FFFFFF"/>
        </w:rPr>
        <w:t>94</w:t>
      </w:r>
      <w:r w:rsidRPr="00811CAC">
        <w:rPr>
          <w:rFonts w:cs="Arial"/>
          <w:color w:val="222222"/>
          <w:szCs w:val="20"/>
          <w:shd w:val="clear" w:color="auto" w:fill="FFFFFF"/>
        </w:rPr>
        <w:t>, 102854.</w:t>
      </w:r>
    </w:p>
    <w:p w14:paraId="4AAC9B08"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Janssens, M., &amp; Steyaert, C. (2019). A practice-based theory of diversity: Respecifying (in) equality in organizations. </w:t>
      </w:r>
      <w:r w:rsidRPr="00811CAC">
        <w:rPr>
          <w:rFonts w:cs="Arial"/>
          <w:i/>
          <w:iCs/>
          <w:color w:val="222222"/>
          <w:szCs w:val="20"/>
          <w:shd w:val="clear" w:color="auto" w:fill="FFFFFF"/>
        </w:rPr>
        <w:t>Academy of Man</w:t>
      </w:r>
      <w:r w:rsidRPr="00811CAC">
        <w:rPr>
          <w:rFonts w:cs="Arial"/>
          <w:i/>
          <w:iCs/>
          <w:color w:val="222222"/>
          <w:szCs w:val="20"/>
          <w:shd w:val="clear" w:color="auto" w:fill="FFFFFF"/>
        </w:rPr>
        <w:t>agement Review</w:t>
      </w:r>
      <w:r w:rsidRPr="00811CAC">
        <w:rPr>
          <w:rFonts w:cs="Arial"/>
          <w:color w:val="222222"/>
          <w:szCs w:val="20"/>
          <w:shd w:val="clear" w:color="auto" w:fill="FFFFFF"/>
        </w:rPr>
        <w:t>, </w:t>
      </w:r>
      <w:r w:rsidRPr="00811CAC">
        <w:rPr>
          <w:rFonts w:cs="Arial"/>
          <w:i/>
          <w:iCs/>
          <w:color w:val="222222"/>
          <w:szCs w:val="20"/>
          <w:shd w:val="clear" w:color="auto" w:fill="FFFFFF"/>
        </w:rPr>
        <w:t>44</w:t>
      </w:r>
      <w:r w:rsidRPr="00811CAC">
        <w:rPr>
          <w:rFonts w:cs="Arial"/>
          <w:color w:val="222222"/>
          <w:szCs w:val="20"/>
          <w:shd w:val="clear" w:color="auto" w:fill="FFFFFF"/>
        </w:rPr>
        <w:t>(3), 518-537.</w:t>
      </w:r>
    </w:p>
    <w:p w14:paraId="5AC45D18"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Juntarawijit, C., &amp; Juntarawijit, Y. (2017). Cooking smoke and respiratory symptoms of restaurant workers in Thailand. </w:t>
      </w:r>
      <w:r w:rsidRPr="00811CAC">
        <w:rPr>
          <w:rFonts w:cs="Arial"/>
          <w:i/>
          <w:iCs/>
          <w:color w:val="222222"/>
          <w:szCs w:val="20"/>
          <w:shd w:val="clear" w:color="auto" w:fill="FFFFFF"/>
        </w:rPr>
        <w:t>BMC pulmonary medicine</w:t>
      </w:r>
      <w:r w:rsidRPr="00811CAC">
        <w:rPr>
          <w:rFonts w:cs="Arial"/>
          <w:color w:val="222222"/>
          <w:szCs w:val="20"/>
          <w:shd w:val="clear" w:color="auto" w:fill="FFFFFF"/>
        </w:rPr>
        <w:t>, </w:t>
      </w:r>
      <w:r w:rsidRPr="00811CAC">
        <w:rPr>
          <w:rFonts w:cs="Arial"/>
          <w:i/>
          <w:iCs/>
          <w:color w:val="222222"/>
          <w:szCs w:val="20"/>
          <w:shd w:val="clear" w:color="auto" w:fill="FFFFFF"/>
        </w:rPr>
        <w:t>17</w:t>
      </w:r>
      <w:r w:rsidRPr="00811CAC">
        <w:rPr>
          <w:rFonts w:cs="Arial"/>
          <w:color w:val="222222"/>
          <w:szCs w:val="20"/>
          <w:shd w:val="clear" w:color="auto" w:fill="FFFFFF"/>
        </w:rPr>
        <w:t>(1), 1-11.</w:t>
      </w:r>
    </w:p>
    <w:p w14:paraId="3A343DBB"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lastRenderedPageBreak/>
        <w:t>Klarsfeld, A., Ng, E. S., Booysen, L., Christiansen, L. C., &amp; Kuvaas</w:t>
      </w:r>
      <w:r w:rsidRPr="00811CAC">
        <w:rPr>
          <w:rFonts w:cs="Arial"/>
          <w:color w:val="222222"/>
          <w:szCs w:val="20"/>
          <w:shd w:val="clear" w:color="auto" w:fill="FFFFFF"/>
        </w:rPr>
        <w:t xml:space="preserve">, B. (2016). Relative equality and diversity: main findings and research gaps. </w:t>
      </w:r>
      <w:r w:rsidRPr="00811CAC">
        <w:rPr>
          <w:rFonts w:cs="Arial"/>
          <w:i/>
          <w:iCs/>
          <w:color w:val="222222"/>
          <w:szCs w:val="20"/>
          <w:shd w:val="clear" w:color="auto" w:fill="FFFFFF"/>
        </w:rPr>
        <w:t>Cross-Cultural &amp; Strategic Management</w:t>
      </w:r>
      <w:r w:rsidRPr="00811CAC">
        <w:rPr>
          <w:rFonts w:cs="Arial"/>
          <w:color w:val="222222"/>
          <w:szCs w:val="20"/>
          <w:shd w:val="clear" w:color="auto" w:fill="FFFFFF"/>
        </w:rPr>
        <w:t>.</w:t>
      </w:r>
    </w:p>
    <w:p w14:paraId="01310AE0"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Lenz, R., &amp; Glückler, J. (2021). Same same but different: regional coherence between institutions and policies in family firm succession. </w:t>
      </w:r>
      <w:r w:rsidRPr="00811CAC">
        <w:rPr>
          <w:rFonts w:cs="Arial"/>
          <w:i/>
          <w:iCs/>
          <w:color w:val="222222"/>
          <w:szCs w:val="20"/>
          <w:shd w:val="clear" w:color="auto" w:fill="FFFFFF"/>
        </w:rPr>
        <w:t>European Planning Studies</w:t>
      </w:r>
      <w:r w:rsidRPr="00811CAC">
        <w:rPr>
          <w:rFonts w:cs="Arial"/>
          <w:color w:val="222222"/>
          <w:szCs w:val="20"/>
          <w:shd w:val="clear" w:color="auto" w:fill="FFFFFF"/>
        </w:rPr>
        <w:t>, </w:t>
      </w:r>
      <w:r w:rsidRPr="00811CAC">
        <w:rPr>
          <w:rFonts w:cs="Arial"/>
          <w:i/>
          <w:iCs/>
          <w:color w:val="222222"/>
          <w:szCs w:val="20"/>
          <w:shd w:val="clear" w:color="auto" w:fill="FFFFFF"/>
        </w:rPr>
        <w:t>29</w:t>
      </w:r>
      <w:r w:rsidRPr="00811CAC">
        <w:rPr>
          <w:rFonts w:cs="Arial"/>
          <w:color w:val="222222"/>
          <w:szCs w:val="20"/>
          <w:shd w:val="clear" w:color="auto" w:fill="FFFFFF"/>
        </w:rPr>
        <w:t>(3), 536-555.</w:t>
      </w:r>
    </w:p>
    <w:p w14:paraId="517AE1FB"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Schachner, M. K., Noack, P., Van de Vijver, F. J., &amp; Eckstein, K. (2016). Cultural diversity climate and psychological adjustment at school—Equality and inclusion versus cultural pluralism. </w:t>
      </w:r>
      <w:r w:rsidRPr="00811CAC">
        <w:rPr>
          <w:rFonts w:cs="Arial"/>
          <w:i/>
          <w:iCs/>
          <w:color w:val="222222"/>
          <w:szCs w:val="20"/>
          <w:shd w:val="clear" w:color="auto" w:fill="FFFFFF"/>
        </w:rPr>
        <w:t>Child Development</w:t>
      </w:r>
      <w:r w:rsidRPr="00811CAC">
        <w:rPr>
          <w:rFonts w:cs="Arial"/>
          <w:color w:val="222222"/>
          <w:szCs w:val="20"/>
          <w:shd w:val="clear" w:color="auto" w:fill="FFFFFF"/>
        </w:rPr>
        <w:t>, </w:t>
      </w:r>
      <w:r w:rsidRPr="00811CAC">
        <w:rPr>
          <w:rFonts w:cs="Arial"/>
          <w:i/>
          <w:iCs/>
          <w:color w:val="222222"/>
          <w:szCs w:val="20"/>
          <w:shd w:val="clear" w:color="auto" w:fill="FFFFFF"/>
        </w:rPr>
        <w:t>87</w:t>
      </w:r>
      <w:r w:rsidRPr="00811CAC">
        <w:rPr>
          <w:rFonts w:cs="Arial"/>
          <w:color w:val="222222"/>
          <w:szCs w:val="20"/>
          <w:shd w:val="clear" w:color="auto" w:fill="FFFFFF"/>
        </w:rPr>
        <w:t>(4</w:t>
      </w:r>
      <w:r w:rsidRPr="00811CAC">
        <w:rPr>
          <w:rFonts w:cs="Arial"/>
          <w:color w:val="222222"/>
          <w:szCs w:val="20"/>
          <w:shd w:val="clear" w:color="auto" w:fill="FFFFFF"/>
        </w:rPr>
        <w:t>), 1175-1191.</w:t>
      </w:r>
    </w:p>
    <w:p w14:paraId="723C3346" w14:textId="77777777" w:rsidR="00811CAC" w:rsidRPr="00811CAC" w:rsidRDefault="00C70E01" w:rsidP="00811CAC">
      <w:pPr>
        <w:ind w:left="720" w:hanging="360"/>
        <w:rPr>
          <w:rFonts w:cs="Arial"/>
          <w:color w:val="222222"/>
          <w:szCs w:val="20"/>
          <w:shd w:val="clear" w:color="auto" w:fill="FFFFFF"/>
        </w:rPr>
      </w:pPr>
      <w:r w:rsidRPr="00811CAC">
        <w:rPr>
          <w:rFonts w:cs="Arial"/>
          <w:color w:val="222222"/>
          <w:szCs w:val="20"/>
          <w:shd w:val="clear" w:color="auto" w:fill="FFFFFF"/>
        </w:rPr>
        <w:t>Szablowski, D. (2019). “Legal enclosure” and resource extraction: Territorial transformation through the enclosure of local and indigenous law. </w:t>
      </w:r>
      <w:r w:rsidRPr="00811CAC">
        <w:rPr>
          <w:rFonts w:cs="Arial"/>
          <w:i/>
          <w:iCs/>
          <w:color w:val="222222"/>
          <w:szCs w:val="20"/>
          <w:shd w:val="clear" w:color="auto" w:fill="FFFFFF"/>
        </w:rPr>
        <w:t>The Extractive Industries and Society</w:t>
      </w:r>
      <w:r w:rsidRPr="00811CAC">
        <w:rPr>
          <w:rFonts w:cs="Arial"/>
          <w:color w:val="222222"/>
          <w:szCs w:val="20"/>
          <w:shd w:val="clear" w:color="auto" w:fill="FFFFFF"/>
        </w:rPr>
        <w:t>, </w:t>
      </w:r>
      <w:r w:rsidRPr="00811CAC">
        <w:rPr>
          <w:rFonts w:cs="Arial"/>
          <w:i/>
          <w:iCs/>
          <w:color w:val="222222"/>
          <w:szCs w:val="20"/>
          <w:shd w:val="clear" w:color="auto" w:fill="FFFFFF"/>
        </w:rPr>
        <w:t>6</w:t>
      </w:r>
      <w:r w:rsidRPr="00811CAC">
        <w:rPr>
          <w:rFonts w:cs="Arial"/>
          <w:color w:val="222222"/>
          <w:szCs w:val="20"/>
          <w:shd w:val="clear" w:color="auto" w:fill="FFFFFF"/>
        </w:rPr>
        <w:t>(3), 722-732.</w:t>
      </w:r>
    </w:p>
    <w:p w14:paraId="46B74756" w14:textId="77777777" w:rsidR="00235E10" w:rsidRPr="00811CAC" w:rsidRDefault="00235E10" w:rsidP="00811CAC">
      <w:pPr>
        <w:ind w:left="360"/>
      </w:pPr>
    </w:p>
    <w:p w14:paraId="4BF224C6" w14:textId="77777777" w:rsidR="00235E10" w:rsidRPr="00811CAC" w:rsidRDefault="00235E10" w:rsidP="00811CAC">
      <w:pPr>
        <w:ind w:left="360"/>
      </w:pPr>
    </w:p>
    <w:p w14:paraId="08AB6E11" w14:textId="77777777" w:rsidR="008B3465" w:rsidRPr="00811CAC" w:rsidRDefault="008B3465" w:rsidP="00811CAC">
      <w:pPr>
        <w:ind w:left="360"/>
      </w:pPr>
    </w:p>
    <w:p w14:paraId="2E3EC19B" w14:textId="77777777" w:rsidR="00665D0A" w:rsidRPr="00811CAC" w:rsidRDefault="00665D0A" w:rsidP="00811CAC">
      <w:pPr>
        <w:ind w:left="360"/>
      </w:pPr>
    </w:p>
    <w:p w14:paraId="6F010C3D" w14:textId="77777777" w:rsidR="003F4E0C" w:rsidRPr="00811CAC" w:rsidRDefault="003F4E0C" w:rsidP="00811CAC">
      <w:pPr>
        <w:ind w:left="360"/>
      </w:pPr>
    </w:p>
    <w:p w14:paraId="2B3F7EBD" w14:textId="77777777" w:rsidR="0062686C" w:rsidRPr="00811CAC" w:rsidRDefault="0062686C" w:rsidP="00811CAC"/>
    <w:sectPr w:rsidR="0062686C" w:rsidRPr="00811CAC" w:rsidSect="00C10FC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2F34" w14:textId="77777777" w:rsidR="00C70E01" w:rsidRDefault="00C70E01">
      <w:pPr>
        <w:spacing w:after="0" w:line="240" w:lineRule="auto"/>
      </w:pPr>
      <w:r>
        <w:separator/>
      </w:r>
    </w:p>
  </w:endnote>
  <w:endnote w:type="continuationSeparator" w:id="0">
    <w:p w14:paraId="1FE4168B" w14:textId="77777777" w:rsidR="00C70E01" w:rsidRDefault="00C7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F7380" w14:textId="77777777" w:rsidR="00C70E01" w:rsidRDefault="00C70E01">
      <w:pPr>
        <w:spacing w:after="0" w:line="240" w:lineRule="auto"/>
      </w:pPr>
      <w:r>
        <w:separator/>
      </w:r>
    </w:p>
  </w:footnote>
  <w:footnote w:type="continuationSeparator" w:id="0">
    <w:p w14:paraId="1252B985" w14:textId="77777777" w:rsidR="00C70E01" w:rsidRDefault="00C70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0213931"/>
      <w:docPartObj>
        <w:docPartGallery w:val="Page Numbers (Top of Page)"/>
        <w:docPartUnique/>
      </w:docPartObj>
    </w:sdtPr>
    <w:sdtEndPr>
      <w:rPr>
        <w:noProof/>
      </w:rPr>
    </w:sdtEndPr>
    <w:sdtContent>
      <w:p w14:paraId="15ACC591" w14:textId="02107E54" w:rsidR="00F65481" w:rsidRDefault="00C70E01">
        <w:pPr>
          <w:pStyle w:val="Header"/>
          <w:jc w:val="right"/>
        </w:pPr>
        <w:r>
          <w:t xml:space="preserve">THE EMPLOYEE EXPERIENCE </w:t>
        </w:r>
        <w:r>
          <w:tab/>
        </w:r>
        <w:r>
          <w:tab/>
        </w:r>
        <w:r>
          <w:fldChar w:fldCharType="begin"/>
        </w:r>
        <w:r>
          <w:instrText xml:space="preserve"> PAGE   \* MERGEFORMAT </w:instrText>
        </w:r>
        <w:r>
          <w:fldChar w:fldCharType="separate"/>
        </w:r>
        <w:r>
          <w:rPr>
            <w:noProof/>
          </w:rPr>
          <w:t>2</w:t>
        </w:r>
        <w:r>
          <w:rPr>
            <w:noProof/>
          </w:rPr>
          <w:fldChar w:fldCharType="end"/>
        </w:r>
      </w:p>
    </w:sdtContent>
  </w:sdt>
  <w:p w14:paraId="5D523689" w14:textId="77777777" w:rsidR="00F65481" w:rsidRDefault="00F6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F5DA3" w14:textId="2CA30DEC" w:rsidR="00F65481" w:rsidRDefault="00C70E01">
    <w:pPr>
      <w:pStyle w:val="Header"/>
      <w:jc w:val="right"/>
    </w:pPr>
    <w:r>
      <w:t>Running head: THE EMPLOYEE EXPERIENCE</w:t>
    </w:r>
    <w:r>
      <w:tab/>
    </w:r>
    <w:sdt>
      <w:sdtPr>
        <w:id w:val="997705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F4B3FF" w14:textId="77777777" w:rsidR="00F65481" w:rsidRDefault="00F6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0752D"/>
    <w:multiLevelType w:val="hybridMultilevel"/>
    <w:tmpl w:val="FC365630"/>
    <w:lvl w:ilvl="0" w:tplc="072CA0DA">
      <w:start w:val="1"/>
      <w:numFmt w:val="decimal"/>
      <w:lvlText w:val="%1."/>
      <w:lvlJc w:val="left"/>
      <w:pPr>
        <w:ind w:left="720" w:hanging="360"/>
      </w:pPr>
    </w:lvl>
    <w:lvl w:ilvl="1" w:tplc="3B687938" w:tentative="1">
      <w:start w:val="1"/>
      <w:numFmt w:val="lowerLetter"/>
      <w:lvlText w:val="%2."/>
      <w:lvlJc w:val="left"/>
      <w:pPr>
        <w:ind w:left="1440" w:hanging="360"/>
      </w:pPr>
    </w:lvl>
    <w:lvl w:ilvl="2" w:tplc="F97CC738" w:tentative="1">
      <w:start w:val="1"/>
      <w:numFmt w:val="lowerRoman"/>
      <w:lvlText w:val="%3."/>
      <w:lvlJc w:val="right"/>
      <w:pPr>
        <w:ind w:left="2160" w:hanging="180"/>
      </w:pPr>
    </w:lvl>
    <w:lvl w:ilvl="3" w:tplc="59A8193E" w:tentative="1">
      <w:start w:val="1"/>
      <w:numFmt w:val="decimal"/>
      <w:lvlText w:val="%4."/>
      <w:lvlJc w:val="left"/>
      <w:pPr>
        <w:ind w:left="2880" w:hanging="360"/>
      </w:pPr>
    </w:lvl>
    <w:lvl w:ilvl="4" w:tplc="CF00CEC6" w:tentative="1">
      <w:start w:val="1"/>
      <w:numFmt w:val="lowerLetter"/>
      <w:lvlText w:val="%5."/>
      <w:lvlJc w:val="left"/>
      <w:pPr>
        <w:ind w:left="3600" w:hanging="360"/>
      </w:pPr>
    </w:lvl>
    <w:lvl w:ilvl="5" w:tplc="FA7647FC" w:tentative="1">
      <w:start w:val="1"/>
      <w:numFmt w:val="lowerRoman"/>
      <w:lvlText w:val="%6."/>
      <w:lvlJc w:val="right"/>
      <w:pPr>
        <w:ind w:left="4320" w:hanging="180"/>
      </w:pPr>
    </w:lvl>
    <w:lvl w:ilvl="6" w:tplc="21AABDCE" w:tentative="1">
      <w:start w:val="1"/>
      <w:numFmt w:val="decimal"/>
      <w:lvlText w:val="%7."/>
      <w:lvlJc w:val="left"/>
      <w:pPr>
        <w:ind w:left="5040" w:hanging="360"/>
      </w:pPr>
    </w:lvl>
    <w:lvl w:ilvl="7" w:tplc="0D1069F0" w:tentative="1">
      <w:start w:val="1"/>
      <w:numFmt w:val="lowerLetter"/>
      <w:lvlText w:val="%8."/>
      <w:lvlJc w:val="left"/>
      <w:pPr>
        <w:ind w:left="5760" w:hanging="360"/>
      </w:pPr>
    </w:lvl>
    <w:lvl w:ilvl="8" w:tplc="795C3DD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C6"/>
    <w:rsid w:val="00137996"/>
    <w:rsid w:val="00235E10"/>
    <w:rsid w:val="003F4E0C"/>
    <w:rsid w:val="004215EF"/>
    <w:rsid w:val="004436C6"/>
    <w:rsid w:val="00475706"/>
    <w:rsid w:val="00607C5E"/>
    <w:rsid w:val="00614D53"/>
    <w:rsid w:val="0062686C"/>
    <w:rsid w:val="0064166E"/>
    <w:rsid w:val="00665D0A"/>
    <w:rsid w:val="006E7D74"/>
    <w:rsid w:val="00796325"/>
    <w:rsid w:val="00811CAC"/>
    <w:rsid w:val="00850184"/>
    <w:rsid w:val="008B3465"/>
    <w:rsid w:val="00931CB0"/>
    <w:rsid w:val="00A756FA"/>
    <w:rsid w:val="00A8216B"/>
    <w:rsid w:val="00AF5342"/>
    <w:rsid w:val="00B910BF"/>
    <w:rsid w:val="00C05180"/>
    <w:rsid w:val="00C10FC6"/>
    <w:rsid w:val="00C70E01"/>
    <w:rsid w:val="00C7358D"/>
    <w:rsid w:val="00CF6843"/>
    <w:rsid w:val="00E962CE"/>
    <w:rsid w:val="00F500AC"/>
    <w:rsid w:val="00F6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FB6E"/>
  <w15:chartTrackingRefBased/>
  <w15:docId w15:val="{E3251884-CCA9-4E28-A4A1-03743DC7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FC6"/>
  </w:style>
  <w:style w:type="paragraph" w:styleId="Footer">
    <w:name w:val="footer"/>
    <w:basedOn w:val="Normal"/>
    <w:link w:val="FooterChar"/>
    <w:uiPriority w:val="99"/>
    <w:unhideWhenUsed/>
    <w:rsid w:val="00C1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FC6"/>
  </w:style>
  <w:style w:type="paragraph" w:styleId="ListParagraph">
    <w:name w:val="List Paragraph"/>
    <w:basedOn w:val="Normal"/>
    <w:uiPriority w:val="34"/>
    <w:qFormat/>
    <w:rsid w:val="00AF5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2021-04-28T02:16:00Z</dcterms:created>
  <dcterms:modified xsi:type="dcterms:W3CDTF">2021-04-28T02:16:00Z</dcterms:modified>
</cp:coreProperties>
</file>